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Приложение №</w:t>
      </w:r>
      <w:r>
        <w:rPr>
          <w:rFonts w:ascii="Times New Roman" w:hAnsi="Times New Roman" w:cs="Times New Roman"/>
          <w:bCs/>
        </w:rPr>
        <w:t xml:space="preserve"> 2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к Договору подряда</w:t>
      </w:r>
      <w:r>
        <w:rPr>
          <w:rFonts w:ascii="Times New Roman" w:hAnsi="Times New Roman" w:cs="Times New Roman"/>
          <w:bCs/>
        </w:rPr>
        <w:t xml:space="preserve"> № ____________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от «_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_»______</w:t>
      </w:r>
      <w:r>
        <w:rPr>
          <w:rFonts w:ascii="Times New Roman" w:hAnsi="Times New Roman" w:cs="Times New Roman"/>
          <w:bCs/>
        </w:rPr>
        <w:t xml:space="preserve"> 202___</w:t>
      </w:r>
      <w:bookmarkStart w:id="0" w:name="_GoBack"/>
      <w:r/>
      <w:bookmarkEnd w:id="0"/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г. </w:t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663"/>
        <w:ind w:left="360"/>
        <w:jc w:val="center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Обязательные требования к ведению документации </w:t>
      </w:r>
      <w:r>
        <w:rPr>
          <w:rFonts w:ascii="Times New Roman" w:hAnsi="Times New Roman" w:cs="Times New Roman"/>
          <w:b/>
        </w:rPr>
      </w:r>
    </w:p>
    <w:p>
      <w:pPr>
        <w:pStyle w:val="663"/>
        <w:ind w:left="360"/>
        <w:jc w:val="center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 контролю при производстве работ на объектах ГК «Дом-Строй»</w:t>
      </w:r>
      <w:r>
        <w:rPr>
          <w:rFonts w:ascii="Times New Roman" w:hAnsi="Times New Roman" w:cs="Times New Roman"/>
          <w:b/>
        </w:rPr>
      </w:r>
    </w:p>
    <w:p>
      <w:pPr>
        <w:pStyle w:val="663"/>
        <w:ind w:left="360"/>
        <w:jc w:val="center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Настоящие требования устанавливают порядо</w:t>
      </w:r>
      <w:r>
        <w:rPr>
          <w:rFonts w:ascii="Times New Roman" w:hAnsi="Times New Roman" w:cs="Times New Roman"/>
        </w:rPr>
        <w:t xml:space="preserve">к ведения документации при производстве работ, а также участия Подрядчика в проведении строительного контроля и государственного строительного надзора при строительстве, реконструкции, капитальном ремонте объектов капитального строительства ГК «Дом-Строй».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Подрядчик обязан знать и обеспечивать соблюдение требований: 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Ф</w:t>
      </w:r>
      <w:r>
        <w:rPr>
          <w:rFonts w:ascii="Times New Roman" w:hAnsi="Times New Roman" w:cs="Times New Roman"/>
        </w:rPr>
        <w:t xml:space="preserve">едерального закона «О государственном контроле (надзоре) и муниципальном контроле в Российской Федерации» № 248-ФЗ от 31.07.2020 г.;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Положения о региональном государственном строительном надзоре на территории Новосибирской области (утв. постановлением Правительства Новосибирской области от 26 октября 2021 г. N 435-п);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Порядка проведения строительного контроля при осуществлении строительства, реконструкции и капитального ремонта объектов капитального строительства (утв. Постановлением правительства Российской Федерации от 21 июня 2010 г. N 468);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иных нормативно-правовых актов, регламентирующих проведение строительного контроля и государственного строительного надзора.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Строительный контроль, осуществляемый Подрядчиком, включает проведение следующих контрольных мероприятий: </w:t>
      </w:r>
      <w:r>
        <w:rPr>
          <w:rFonts w:ascii="Times New Roman" w:hAnsi="Times New Roman" w:cs="Times New Roman"/>
        </w:rPr>
      </w:r>
    </w:p>
    <w:p>
      <w:pPr>
        <w:ind w:firstLine="360"/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проверка качества строительных материалов, изделий, конструкций и оборудования, поставленных для строительства объекта капитального строительства (входной контроль); </w:t>
      </w:r>
      <w:r>
        <w:rPr>
          <w:rFonts w:ascii="Times New Roman" w:hAnsi="Times New Roman" w:cs="Times New Roman"/>
        </w:rPr>
      </w:r>
    </w:p>
    <w:p>
      <w:pPr>
        <w:ind w:firstLine="360"/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проверка соблюдения установленных норм и правил складирования и хранения применяемой продукции, последовательности и состава технологических операций при осуществлении строительства; </w:t>
      </w:r>
      <w:r>
        <w:rPr>
          <w:rFonts w:ascii="Times New Roman" w:hAnsi="Times New Roman" w:cs="Times New Roman"/>
        </w:rPr>
      </w:r>
    </w:p>
    <w:p>
      <w:pPr>
        <w:ind w:firstLine="360"/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совместно с Заказчиком освидетельствование работ, скрываемы</w:t>
      </w:r>
      <w:r>
        <w:rPr>
          <w:rFonts w:ascii="Times New Roman" w:hAnsi="Times New Roman" w:cs="Times New Roman"/>
        </w:rPr>
        <w:t xml:space="preserve">х последующими работами (скрытые работы), промежуточная приемка возведенных строительных конструкций, влияющих на безопасность объекта капитального строительства, участков сетей инженерно-технического обеспечения, приемка законченных видов (этапов) работ; </w:t>
      </w:r>
      <w:r>
        <w:rPr>
          <w:rFonts w:ascii="Times New Roman" w:hAnsi="Times New Roman" w:cs="Times New Roman"/>
        </w:rPr>
      </w:r>
    </w:p>
    <w:p>
      <w:pPr>
        <w:ind w:firstLine="360"/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проверка совмес</w:t>
      </w:r>
      <w:r>
        <w:rPr>
          <w:rFonts w:ascii="Times New Roman" w:hAnsi="Times New Roman" w:cs="Times New Roman"/>
        </w:rPr>
        <w:t xml:space="preserve">тно с Заказчиком соответствия законченного строительством объекта требованиям проектной и подготовленной на ее основе рабочей документации, результатам инженерных изысканий, требованиям градостроительного плана земельного участка, технических регламентов. 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контрольные мероприятия предполагают их проведение совместно с Заказчиком, Подрядчик обеспечивает уведомление Заказчика о дате и времени проведения этих мероприятий не позднее чем за 3 рабочих дня. 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Проведение контрольного мероприятия и его результаты фиксируются путем составления акта. Сведения о проведенных контрольных мероприятиях и их результатах отражаются в общем журнале работ.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360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Подрядчик обеспечивает организацию ведения, контроль качества и своевременности заполнения специальных журналов работ на объекте строительства.</w:t>
      </w:r>
      <w:r>
        <w:rPr>
          <w:rFonts w:ascii="Times New Roman" w:hAnsi="Times New Roman" w:cs="Times New Roman"/>
          <w:b/>
        </w:rPr>
      </w:r>
    </w:p>
    <w:p>
      <w:pPr>
        <w:pStyle w:val="663"/>
        <w:numPr>
          <w:ilvl w:val="0"/>
          <w:numId w:val="2"/>
        </w:numPr>
        <w:ind w:left="0" w:firstLine="426"/>
        <w:jc w:val="both"/>
        <w:spacing w:after="0" w:line="240" w:lineRule="auto"/>
        <w:tabs>
          <w:tab w:val="left" w:pos="709" w:leader="none"/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Порядок ведения специальных журналов работ: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до начала производства работ Подрядчик получает у Заказчика/технического заказчика специальные журналы работ, зарегистрированные в Инспекции государственного строительного надзора;</w:t>
      </w:r>
      <w:r>
        <w:rPr>
          <w:rFonts w:ascii="Times New Roman" w:hAnsi="Times New Roman" w:cs="Times New Roman"/>
        </w:rPr>
      </w:r>
    </w:p>
    <w:p>
      <w:pPr>
        <w:ind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приказом руководителя организации Подрядчика, назначается ответственное лицо за ведение журналов работ;</w:t>
      </w:r>
      <w:r>
        <w:rPr>
          <w:rFonts w:ascii="Times New Roman" w:hAnsi="Times New Roman" w:cs="Times New Roman"/>
        </w:rPr>
      </w:r>
    </w:p>
    <w:p>
      <w:pPr>
        <w:ind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Подрядчик обеспечивает постоянное хранение специальных журналов работ на строительной площадке. Записи в специальные журналы работ вносятся ответственными представителями Подрядчика ежедневно; </w:t>
      </w:r>
      <w:r>
        <w:rPr>
          <w:rFonts w:ascii="Times New Roman" w:hAnsi="Times New Roman" w:cs="Times New Roman"/>
        </w:rPr>
      </w:r>
    </w:p>
    <w:p>
      <w:pPr>
        <w:ind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записи в журналах должны вестись в строгом соответствии с действующими на момент заполнения нормативными документами: СП 48.13330.201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 «Организация строительства» и РД 1 1-05-2007 «Порядок ведения общего и (или) специального журнала учета выполненных работ при строительстве, реконструкции, капитальном ремонте объектов капитального строительства»;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по заполнении последнего листа любого из разделов специального журнала, По</w:t>
      </w:r>
      <w:r>
        <w:rPr>
          <w:rFonts w:ascii="Times New Roman" w:hAnsi="Times New Roman" w:cs="Times New Roman"/>
        </w:rPr>
        <w:t xml:space="preserve">дрядчик начинает вносить сведения в новый журнал, который имеет последующий регистрационный номер. Подрядчик, заблаговременно (не менее чем за 2 недели) информирует технического заказчика о необходимости подготовки и регистрации последующего журнала работ;</w:t>
      </w:r>
      <w:r>
        <w:rPr>
          <w:rFonts w:ascii="Times New Roman" w:hAnsi="Times New Roman" w:cs="Times New Roman"/>
        </w:rPr>
      </w:r>
    </w:p>
    <w:p>
      <w:pPr>
        <w:ind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заполненный журнал, Подрядчик передает инженеру технадзора технического заказчика. В передаваемом журнале от Подрядчика к техническому заказчику, должны быть устранены все замечания, которые выдавались в процессе строительства.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426"/>
        <w:jc w:val="both"/>
        <w:spacing w:after="0" w:line="240" w:lineRule="auto"/>
        <w:tabs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проведения Инспекцией государственного строительного надзора Новосибирской области контрольных (надзорных) мероприятий на объекте строительства, уполномоченный представитель Подрядчика обязан: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незамедлительно проинформировать представителя Заказчика/технического заказчика о проведении такого мероприятия, в случае его отсутствия на Объекте;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предоставлять запрошенную инспектором техническую и иную документацию в отношении объекта контроля. В случае отсутствия запрошенной документации у Подрядчика, сообщить инспектору о необходимости истребовать ее у Заказчика (технического заказчика);</w:t>
      </w:r>
      <w:r>
        <w:rPr>
          <w:rFonts w:ascii="Times New Roman" w:hAnsi="Times New Roman" w:cs="Times New Roman"/>
        </w:rPr>
      </w:r>
    </w:p>
    <w:p>
      <w:pPr>
        <w:pStyle w:val="663"/>
        <w:ind w:left="0" w:firstLine="426"/>
        <w:jc w:val="both"/>
        <w:spacing w:after="0" w:line="240" w:lineRule="auto"/>
        <w:tabs>
          <w:tab w:val="left" w:pos="567" w:leader="none"/>
          <w:tab w:val="left" w:pos="709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-  участвовать в опросе инспектором, давать письменные пояснения, подписывать документы, составляемые при проведении проверки, только после консультации с юридическим отделом Заказчика.</w:t>
      </w:r>
      <w:r>
        <w:rPr>
          <w:rFonts w:ascii="Times New Roman" w:hAnsi="Times New Roman" w:cs="Times New Roman"/>
          <w:b/>
        </w:rPr>
      </w:r>
    </w:p>
    <w:p>
      <w:pPr>
        <w:pStyle w:val="663"/>
        <w:numPr>
          <w:ilvl w:val="0"/>
          <w:numId w:val="2"/>
        </w:numPr>
        <w:ind w:left="0" w:firstLine="284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выявлении Заказчиком/техн</w:t>
      </w:r>
      <w:r>
        <w:rPr>
          <w:rFonts w:ascii="Times New Roman" w:hAnsi="Times New Roman" w:cs="Times New Roman"/>
        </w:rPr>
        <w:t xml:space="preserve">ическим заказчиком нарушения Подрядчиком при проведении строительного контроля требований нормативного правовых актов и/или настоящих Обязательных требований, Подрядчик выплачивает Заказчику штраф в размере 10 000 (Десять тысяч) рублей за каждое нарушение.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284"/>
        <w:jc w:val="both"/>
        <w:spacing w:after="0" w:line="240" w:lineRule="auto"/>
        <w:tabs>
          <w:tab w:val="left" w:pos="567" w:leader="none"/>
          <w:tab w:val="left" w:pos="709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установлении в ходе регионального государственного строительного надзора нарушений обязательных требований, допущенных Подрядчиком при проведении работ, Подрядчик не вправе ссылаться на ненадлежащее осуществление Заказчиком строительного контроля. </w:t>
      </w:r>
      <w:r>
        <w:rPr>
          <w:rFonts w:ascii="Times New Roman" w:hAnsi="Times New Roman" w:cs="Times New Roman"/>
        </w:rPr>
      </w:r>
    </w:p>
    <w:p>
      <w:pPr>
        <w:pStyle w:val="663"/>
        <w:numPr>
          <w:ilvl w:val="0"/>
          <w:numId w:val="2"/>
        </w:numPr>
        <w:ind w:left="0" w:firstLine="284"/>
        <w:jc w:val="both"/>
        <w:spacing w:after="0" w:line="240" w:lineRule="auto"/>
        <w:tabs>
          <w:tab w:val="left" w:pos="567" w:leader="none"/>
          <w:tab w:val="left" w:pos="709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случае привлечения Заказчика к ответственности за нарушения обязательных требований, допущенные по причине ненадлежащего осуществления Подрядчиком обязанностей по строительному контролю, Подрядчик обязан возместить Заказчику сумму убытков в виде штрафа.  </w:t>
      </w:r>
      <w:r>
        <w:rPr>
          <w:rFonts w:ascii="Times New Roman" w:hAnsi="Times New Roman" w:cs="Times New Roman"/>
        </w:rPr>
      </w:r>
    </w:p>
    <w:p>
      <w:pPr>
        <w:pStyle w:val="663"/>
        <w:ind w:left="284"/>
        <w:jc w:val="both"/>
        <w:spacing w:after="0" w:line="240" w:lineRule="auto"/>
        <w:tabs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tbl>
      <w:tblPr>
        <w:tblStyle w:val="6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605"/>
        <w:gridCol w:w="1167"/>
      </w:tblGrid>
      <w:tr>
        <w:tblPrEx/>
        <w:trPr>
          <w:trHeight w:val="1480"/>
        </w:trPr>
        <w:tc>
          <w:tcPr>
            <w:tcW w:w="4927" w:type="dxa"/>
            <w:textDirection w:val="lrTb"/>
            <w:noWrap w:val="false"/>
          </w:tcPr>
          <w:p>
            <w:pPr>
              <w:ind w:firstLine="567"/>
              <w:jc w:val="both"/>
              <w:widowControl w:val="off"/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  <w:t xml:space="preserve">Заказчик:  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  <w:t xml:space="preserve">                                                                            Подрядчик: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lang w:eastAsia="ru-RU"/>
              </w:rPr>
            </w:r>
          </w:p>
          <w:tbl>
            <w:tblPr>
              <w:tblStyle w:val="667"/>
              <w:tblW w:w="9389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4694"/>
              <w:gridCol w:w="4695"/>
            </w:tblGrid>
            <w:tr>
              <w:tblPrEx/>
              <w:trPr>
                <w:trHeight w:val="1260"/>
              </w:trPr>
              <w:tc>
                <w:tcPr>
                  <w:tcW w:w="4694" w:type="dxa"/>
                  <w:textDirection w:val="lrTb"/>
                  <w:noWrap w:val="false"/>
                </w:tcPr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Cs/>
                    </w:rPr>
                  </w:r>
                  <w:r>
                    <w:rPr>
                      <w:rFonts w:ascii="Times New Roman" w:hAnsi="Times New Roman"/>
                      <w:bCs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Cs/>
                    </w:rPr>
                  </w:r>
                  <w:r>
                    <w:rPr>
                      <w:rFonts w:ascii="Times New Roman" w:hAnsi="Times New Roman"/>
                    </w:rPr>
                  </w:r>
                </w:p>
                <w:p>
                  <w:pPr>
                    <w:jc w:val="left"/>
                    <w:tabs>
                      <w:tab w:val="left" w:pos="1320" w:leader="none"/>
                    </w:tabs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 xml:space="preserve">_______________________</w:t>
                  </w:r>
                  <w:r>
                    <w:rPr>
                      <w:rFonts w:ascii="Times New Roman" w:hAnsi="Times New Roman"/>
                      <w:bCs/>
                    </w:rPr>
                    <w:t xml:space="preserve">/_____________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/>
                      <w:bCs/>
                    </w:rPr>
                  </w:r>
                </w:p>
              </w:tc>
              <w:tc>
                <w:tcPr>
                  <w:tcW w:w="4695" w:type="dxa"/>
                  <w:textDirection w:val="lrTb"/>
                  <w:noWrap w:val="false"/>
                </w:tcPr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</w:r>
                </w:p>
                <w:p>
                  <w:pPr>
                    <w:tabs>
                      <w:tab w:val="left" w:pos="1320" w:leader="none"/>
                    </w:tabs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___________________/_________/</w:t>
                  </w:r>
                  <w:r>
                    <w:rPr>
                      <w:rFonts w:ascii="Times New Roman" w:hAnsi="Times New Roman"/>
                      <w:bCs/>
                    </w:rPr>
                  </w:r>
                </w:p>
              </w:tc>
            </w:tr>
          </w:tbl>
          <w:p>
            <w:pPr>
              <w:jc w:val="both"/>
              <w:tabs>
                <w:tab w:val="left" w:pos="851" w:leader="none"/>
                <w:tab w:val="left" w:pos="993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7" w:type="dxa"/>
            <w:textDirection w:val="lrTb"/>
            <w:noWrap w:val="false"/>
          </w:tcPr>
          <w:p>
            <w:pPr>
              <w:jc w:val="both"/>
              <w:tabs>
                <w:tab w:val="left" w:pos="851" w:leader="none"/>
                <w:tab w:val="left" w:pos="993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both"/>
        <w:spacing w:after="0" w:line="240" w:lineRule="auto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567" w:bottom="567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16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1400" w:hanging="1800"/>
      </w:pPr>
      <w:rPr>
        <w:rFonts w:hint="default"/>
      </w:rPr>
    </w:lvl>
  </w:abstractNum>
  <w:abstractNum w:abstractNumId="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58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12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9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isLgl w:val="false"/>
      <w:suff w:val="tab"/>
      <w:lvlText w:val="•"/>
      <w:lvlJc w:val="left"/>
      <w:pPr>
        <w:ind w:left="26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339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411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isLgl w:val="false"/>
      <w:suff w:val="tab"/>
      <w:lvlText w:val="•"/>
      <w:lvlJc w:val="left"/>
      <w:pPr>
        <w:ind w:left="483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55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6274"/>
      </w:pPr>
      <w:rPr>
        <w:rFonts w:ascii="Times New Roman" w:hAnsi="Times New Roman" w:eastAsia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3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20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4">
    <w:multiLevelType w:val="hybridMultilevel"/>
    <w:lvl w:ilvl="0">
      <w:start w:val="14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3"/>
      <w:numFmt w:val="decimal"/>
      <w:isLgl/>
      <w:suff w:val="tab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5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12"/>
  </w:num>
  <w:num w:numId="5">
    <w:abstractNumId w:val="9"/>
  </w:num>
  <w:num w:numId="6">
    <w:abstractNumId w:val="13"/>
  </w:num>
  <w:num w:numId="7">
    <w:abstractNumId w:val="5"/>
  </w:num>
  <w:num w:numId="8">
    <w:abstractNumId w:val="18"/>
  </w:num>
  <w:num w:numId="9">
    <w:abstractNumId w:val="14"/>
  </w:num>
  <w:num w:numId="10">
    <w:abstractNumId w:val="6"/>
  </w:num>
  <w:num w:numId="11">
    <w:abstractNumId w:val="0"/>
  </w:num>
  <w:num w:numId="12">
    <w:abstractNumId w:val="10"/>
  </w:num>
  <w:num w:numId="13">
    <w:abstractNumId w:val="19"/>
  </w:num>
  <w:num w:numId="14">
    <w:abstractNumId w:val="7"/>
  </w:num>
  <w:num w:numId="15">
    <w:abstractNumId w:val="16"/>
  </w:num>
  <w:num w:numId="16">
    <w:abstractNumId w:val="17"/>
  </w:num>
  <w:num w:numId="17">
    <w:abstractNumId w:val="20"/>
  </w:num>
  <w:num w:numId="18">
    <w:abstractNumId w:val="2"/>
  </w:num>
  <w:num w:numId="19">
    <w:abstractNumId w:val="3"/>
  </w:num>
  <w:num w:numId="20">
    <w:abstractNumId w:val="1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9"/>
    <w:next w:val="65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6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9"/>
    <w:next w:val="65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6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9"/>
    <w:next w:val="65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6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9"/>
    <w:next w:val="65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6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9"/>
    <w:next w:val="65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6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9"/>
    <w:next w:val="65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6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9"/>
    <w:next w:val="65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6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9"/>
    <w:next w:val="65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6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9"/>
    <w:next w:val="65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6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9"/>
    <w:next w:val="65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60"/>
    <w:link w:val="34"/>
    <w:uiPriority w:val="10"/>
    <w:rPr>
      <w:sz w:val="48"/>
      <w:szCs w:val="48"/>
    </w:rPr>
  </w:style>
  <w:style w:type="paragraph" w:styleId="36">
    <w:name w:val="Subtitle"/>
    <w:basedOn w:val="659"/>
    <w:next w:val="65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60"/>
    <w:link w:val="36"/>
    <w:uiPriority w:val="11"/>
    <w:rPr>
      <w:sz w:val="24"/>
      <w:szCs w:val="24"/>
    </w:rPr>
  </w:style>
  <w:style w:type="paragraph" w:styleId="38">
    <w:name w:val="Quote"/>
    <w:basedOn w:val="659"/>
    <w:next w:val="65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9"/>
    <w:next w:val="65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60"/>
    <w:link w:val="42"/>
    <w:uiPriority w:val="99"/>
  </w:style>
  <w:style w:type="paragraph" w:styleId="44">
    <w:name w:val="Footer"/>
    <w:basedOn w:val="659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60"/>
    <w:link w:val="44"/>
    <w:uiPriority w:val="99"/>
  </w:style>
  <w:style w:type="paragraph" w:styleId="46">
    <w:name w:val="Caption"/>
    <w:basedOn w:val="659"/>
    <w:next w:val="659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60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60"/>
    <w:uiPriority w:val="99"/>
    <w:unhideWhenUsed/>
    <w:rPr>
      <w:vertAlign w:val="superscript"/>
    </w:rPr>
  </w:style>
  <w:style w:type="paragraph" w:styleId="178">
    <w:name w:val="endnote text"/>
    <w:basedOn w:val="65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60"/>
    <w:uiPriority w:val="99"/>
    <w:semiHidden/>
    <w:unhideWhenUsed/>
    <w:rPr>
      <w:vertAlign w:val="superscript"/>
    </w:rPr>
  </w:style>
  <w:style w:type="paragraph" w:styleId="181">
    <w:name w:val="toc 1"/>
    <w:basedOn w:val="659"/>
    <w:next w:val="65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9"/>
    <w:next w:val="65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9"/>
    <w:next w:val="65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9"/>
    <w:next w:val="65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9"/>
    <w:next w:val="65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9"/>
    <w:next w:val="65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9"/>
    <w:next w:val="65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9"/>
    <w:next w:val="65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9"/>
    <w:next w:val="65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9"/>
    <w:next w:val="659"/>
    <w:uiPriority w:val="99"/>
    <w:unhideWhenUsed/>
    <w:pPr>
      <w:spacing w:after="0" w:afterAutospacing="0"/>
    </w:pPr>
  </w:style>
  <w:style w:type="paragraph" w:styleId="659" w:default="1">
    <w:name w:val="Normal"/>
    <w:qFormat/>
  </w:style>
  <w:style w:type="character" w:styleId="660" w:default="1">
    <w:name w:val="Default Paragraph Font"/>
    <w:uiPriority w:val="1"/>
    <w:semiHidden/>
    <w:unhideWhenUsed/>
  </w:style>
  <w:style w:type="table" w:styleId="6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2" w:default="1">
    <w:name w:val="No List"/>
    <w:uiPriority w:val="99"/>
    <w:semiHidden/>
    <w:unhideWhenUsed/>
  </w:style>
  <w:style w:type="paragraph" w:styleId="663">
    <w:name w:val="List Paragraph"/>
    <w:basedOn w:val="659"/>
    <w:uiPriority w:val="34"/>
    <w:qFormat/>
    <w:pPr>
      <w:contextualSpacing/>
      <w:ind w:left="720"/>
    </w:pPr>
  </w:style>
  <w:style w:type="character" w:styleId="664">
    <w:name w:val="Hyperlink"/>
    <w:basedOn w:val="660"/>
    <w:uiPriority w:val="99"/>
    <w:semiHidden/>
    <w:unhideWhenUsed/>
    <w:rPr>
      <w:color w:val="0000ff"/>
      <w:u w:val="single"/>
    </w:rPr>
  </w:style>
  <w:style w:type="paragraph" w:styleId="665">
    <w:name w:val="Balloon Text"/>
    <w:basedOn w:val="659"/>
    <w:link w:val="66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66" w:customStyle="1">
    <w:name w:val="Текст выноски Знак"/>
    <w:basedOn w:val="660"/>
    <w:link w:val="665"/>
    <w:uiPriority w:val="99"/>
    <w:semiHidden/>
    <w:rPr>
      <w:rFonts w:ascii="Segoe UI" w:hAnsi="Segoe UI" w:cs="Segoe UI"/>
      <w:sz w:val="18"/>
      <w:szCs w:val="18"/>
    </w:rPr>
  </w:style>
  <w:style w:type="table" w:styleId="667">
    <w:name w:val="Table Grid"/>
    <w:basedOn w:val="66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Алексей Коваль</cp:lastModifiedBy>
  <cp:revision>19</cp:revision>
  <dcterms:created xsi:type="dcterms:W3CDTF">2022-01-10T03:54:00Z</dcterms:created>
  <dcterms:modified xsi:type="dcterms:W3CDTF">2026-04-21T05:42:21Z</dcterms:modified>
</cp:coreProperties>
</file>